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2.xml" ContentType="application/xml"/>
  <Override PartName="/customXml/itemProps1.xml" ContentType="application/vnd.openxmlformats-officedocument.customXmlPropertie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word/_rels/document.xml.rels" ContentType="application/vnd.openxmlformats-package.relationship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ind w:left="5103" w:hanging="0"/>
        <w:rPr>
          <w:sz w:val="22"/>
          <w:szCs w:val="22"/>
          <w:highlight w:val="lightGray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</w:t>
      </w:r>
      <w:r>
        <w:rPr>
          <w:sz w:val="22"/>
          <w:szCs w:val="22"/>
        </w:rPr>
        <w:t>13</w:t>
      </w:r>
    </w:p>
    <w:p>
      <w:pPr>
        <w:pStyle w:val="Normal"/>
        <w:spacing w:lineRule="auto" w:line="24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договору подряда </w:t>
      </w:r>
    </w:p>
    <w:p>
      <w:pPr>
        <w:pStyle w:val="Normal"/>
        <w:spacing w:lineRule="auto" w:line="240"/>
        <w:jc w:val="right"/>
        <w:rPr>
          <w:sz w:val="22"/>
          <w:szCs w:val="22"/>
        </w:rPr>
      </w:pPr>
      <w:r>
        <w:rPr>
          <w:sz w:val="22"/>
          <w:szCs w:val="22"/>
        </w:rPr>
        <w:t>№</w:t>
      </w:r>
      <w:r>
        <w:rPr>
          <w:sz w:val="22"/>
          <w:szCs w:val="22"/>
        </w:rPr>
        <w:t>__ от __.__.20__</w:t>
      </w:r>
    </w:p>
    <w:p>
      <w:pPr>
        <w:pStyle w:val="Normal"/>
        <w:spacing w:lineRule="auto" w:line="24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ПОРЯДОК</w:t>
      </w:r>
    </w:p>
    <w:p>
      <w:pPr>
        <w:pStyle w:val="Normal"/>
        <w:spacing w:lineRule="auto" w:line="24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учета, хранения и передачи материалов,</w:t>
      </w:r>
    </w:p>
    <w:p>
      <w:pPr>
        <w:pStyle w:val="Normal"/>
        <w:spacing w:lineRule="auto" w:line="24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образовавшихся после демонтажа имущества (оборудования) Заказчика  </w:t>
      </w:r>
    </w:p>
    <w:p>
      <w:pPr>
        <w:pStyle w:val="Normal"/>
        <w:spacing w:lineRule="auto" w:line="24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при исполнении Подрядчиком работ по договору</w:t>
      </w:r>
    </w:p>
    <w:p>
      <w:pPr>
        <w:pStyle w:val="Normal"/>
        <w:spacing w:lineRule="auto" w:line="24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tabs>
          <w:tab w:val="clear" w:pos="708"/>
          <w:tab w:val="left" w:pos="1134" w:leader="none"/>
        </w:tabs>
        <w:spacing w:lineRule="auto" w:line="240"/>
        <w:rPr>
          <w:sz w:val="22"/>
          <w:szCs w:val="22"/>
        </w:rPr>
      </w:pPr>
      <w:r>
        <w:rPr>
          <w:b/>
          <w:sz w:val="22"/>
          <w:szCs w:val="22"/>
        </w:rPr>
        <w:t>1.</w:t>
      </w:r>
      <w:r>
        <w:rPr>
          <w:sz w:val="22"/>
          <w:szCs w:val="22"/>
        </w:rPr>
        <w:t xml:space="preserve"> В целях организации учета и хранения материалов, оставшихся после демонтажа имущества Заказчика при исполнении Подрядчиком работ по Договору (далее - материалы после демонтажа), Заказчик обязан в течение двух рабочих дней с момента заключения договора передать Подрядчику для руководства в работе следующие документы: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- Инструкцию по складированию и хранению материалов, оборудования и запасных частей на складах филиалов, утвержденную в АО «ДРСК» (И-ИСМ-6.4-01.02-4729);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- Регламент процесса «Планирование образования, накопление и реализация лома и отходов черных и цветных металлов (за исключением драгоценных) в подконтрольных организациях ПАО «РусГидро»», утвержденный приказом ПАО «РусГидро» от 06.10.2020 №848);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- формы первичных учетных документов, применяемых в АО «ДРСК» при приемке демонтированных материалов;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- иные документы, необходимые для исполнения Подрядчиком обязанностей по учету и хранению демонтированных материалов.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2. Подрядчик обязуется при организации учета, хранения и передачи Заказчику материалов после демонтажа руководствоваться документами, перечисленными в п. 1 Порядка. 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Подрядчик несет риск случайной гибели, а также ответственность за сохранность, утрату или повреждение материалов после демонтажа до передачи их Заказчику.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firstLine="709"/>
        <w:rPr>
          <w:sz w:val="22"/>
          <w:szCs w:val="22"/>
        </w:rPr>
      </w:pPr>
      <w:r>
        <w:rPr>
          <w:b/>
          <w:sz w:val="22"/>
          <w:szCs w:val="22"/>
        </w:rPr>
        <w:t>3. Объемы и номенклатура материалов и оборудования</w:t>
      </w:r>
      <w:r>
        <w:rPr>
          <w:sz w:val="22"/>
          <w:szCs w:val="22"/>
        </w:rPr>
        <w:t>, подлежащих демонтажу при исполнении договора и передаваемых Подрядчиком Заказчику, указаны в ТЗ к Договору.</w:t>
      </w:r>
      <w:r>
        <w:rPr>
          <w:rStyle w:val="FootnoteReference"/>
          <w:sz w:val="22"/>
          <w:szCs w:val="22"/>
        </w:rPr>
        <w:footnoteReference w:id="2"/>
      </w:r>
    </w:p>
    <w:p>
      <w:pPr>
        <w:pStyle w:val="Normal"/>
        <w:spacing w:lineRule="auto" w:line="240"/>
        <w:ind w:firstLine="709"/>
        <w:rPr>
          <w:i/>
          <w:i/>
          <w:sz w:val="22"/>
          <w:szCs w:val="22"/>
          <w:highlight w:val="lightGray"/>
        </w:rPr>
      </w:pPr>
      <w:r>
        <w:rPr>
          <w:i/>
          <w:sz w:val="22"/>
          <w:szCs w:val="22"/>
          <w:highlight w:val="lightGray"/>
        </w:rPr>
        <w:t>или</w:t>
      </w:r>
    </w:p>
    <w:p>
      <w:pPr>
        <w:pStyle w:val="Normal"/>
        <w:spacing w:lineRule="auto" w:line="240"/>
        <w:ind w:firstLine="709"/>
        <w:rPr>
          <w:rFonts w:eastAsia="Calibri" w:eastAsiaTheme="minorHAnsi"/>
          <w:sz w:val="22"/>
          <w:szCs w:val="22"/>
        </w:rPr>
      </w:pPr>
      <w:r>
        <w:rPr>
          <w:sz w:val="22"/>
          <w:szCs w:val="22"/>
          <w:highlight w:val="lightGray"/>
        </w:rPr>
        <w:t>3. Объемы и номенклатура материалов и оборудования, подлежащих демонтажу при исполнении договора и передаваемых Подрядчиком Заказчику:</w:t>
      </w:r>
      <w:r>
        <w:rPr>
          <w:rStyle w:val="FootnoteReference"/>
          <w:sz w:val="22"/>
          <w:szCs w:val="22"/>
          <w:highlight w:val="lightGray"/>
        </w:rPr>
        <w:footnoteReference w:id="3"/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>
          <w:i/>
          <w:i/>
          <w:sz w:val="22"/>
          <w:szCs w:val="22"/>
          <w:highlight w:val="lightGray"/>
        </w:rPr>
      </w:pPr>
      <w:r>
        <w:rPr>
          <w:i/>
          <w:sz w:val="22"/>
          <w:szCs w:val="22"/>
          <w:highlight w:val="lightGray"/>
        </w:rPr>
        <w:t>-…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>
          <w:i/>
          <w:i/>
          <w:sz w:val="22"/>
          <w:szCs w:val="22"/>
          <w:highlight w:val="lightGray"/>
        </w:rPr>
      </w:pPr>
      <w:r>
        <w:rPr>
          <w:i/>
          <w:sz w:val="22"/>
          <w:szCs w:val="22"/>
          <w:highlight w:val="lightGray"/>
        </w:rPr>
        <w:t>-…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>
          <w:i/>
          <w:i/>
          <w:sz w:val="22"/>
          <w:szCs w:val="22"/>
        </w:rPr>
      </w:pPr>
      <w:r>
        <w:rPr>
          <w:i/>
          <w:sz w:val="22"/>
          <w:szCs w:val="22"/>
          <w:highlight w:val="lightGray"/>
        </w:rPr>
        <w:t>(составляются филиалом в произвольной форме с обязательным указанием наименования материалов/оборудования, их количества, марки, протяженности, веса и других необходимых характеристик, указанных в паспорте на объект (ВЛ, ПС, ТП и др.)</w:t>
      </w:r>
      <w:r>
        <w:rPr>
          <w:i/>
          <w:sz w:val="22"/>
          <w:szCs w:val="22"/>
        </w:rPr>
        <w:t xml:space="preserve"> 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>
          <w:rFonts w:eastAsia="Calibri"/>
          <w:bCs/>
          <w:iCs/>
          <w:sz w:val="22"/>
          <w:szCs w:val="22"/>
        </w:rPr>
      </w:pPr>
      <w:r>
        <w:rPr>
          <w:b/>
          <w:sz w:val="22"/>
          <w:szCs w:val="22"/>
        </w:rPr>
        <w:t>4. С</w:t>
      </w:r>
      <w:r>
        <w:rPr>
          <w:rFonts w:eastAsia="Calibri"/>
          <w:b/>
          <w:bCs/>
          <w:iCs/>
          <w:sz w:val="22"/>
          <w:szCs w:val="22"/>
        </w:rPr>
        <w:t>пособ учёта</w:t>
      </w:r>
      <w:r>
        <w:rPr>
          <w:rFonts w:eastAsia="Calibri"/>
          <w:bCs/>
          <w:iCs/>
          <w:sz w:val="22"/>
          <w:szCs w:val="22"/>
        </w:rPr>
        <w:t xml:space="preserve"> Подрядчиком материалов в документах, составляемых в рамках исполнения Договора (проектной, сметной документации, Актах КС-2, Актах на демонтаж, Актах взвешивания и Актах оприходования единообразной единицы измерения):</w:t>
      </w:r>
    </w:p>
    <w:p>
      <w:pPr>
        <w:pStyle w:val="Normal"/>
        <w:tabs>
          <w:tab w:val="clear" w:pos="708"/>
          <w:tab w:val="left" w:pos="993" w:leader="none"/>
        </w:tabs>
        <w:spacing w:lineRule="auto" w:line="240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>
        <w:rPr>
          <w:sz w:val="22"/>
          <w:szCs w:val="22"/>
        </w:rPr>
        <w:t>провод ____ – ___/___ в километрах /тоннах (вес провода рассчитывается на основании действующих ГОСТ);</w:t>
      </w:r>
    </w:p>
    <w:p>
      <w:pPr>
        <w:pStyle w:val="Normal"/>
        <w:tabs>
          <w:tab w:val="clear" w:pos="708"/>
          <w:tab w:val="left" w:pos="993" w:leader="none"/>
        </w:tabs>
        <w:spacing w:lineRule="auto" w:line="240"/>
        <w:ind w:left="709" w:firstLine="567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>
        <w:rPr>
          <w:sz w:val="22"/>
          <w:szCs w:val="22"/>
        </w:rPr>
        <w:t>стойки ж/б ____ – ____ в штуках;</w:t>
      </w:r>
    </w:p>
    <w:p>
      <w:pPr>
        <w:pStyle w:val="Normal"/>
        <w:tabs>
          <w:tab w:val="clear" w:pos="708"/>
          <w:tab w:val="left" w:pos="993" w:leader="none"/>
        </w:tabs>
        <w:spacing w:lineRule="auto" w:line="240"/>
        <w:ind w:left="720" w:firstLine="567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>
        <w:rPr>
          <w:sz w:val="22"/>
          <w:szCs w:val="22"/>
        </w:rPr>
        <w:t>стойки деревянные ____ – ____/____ в штуках/м</w:t>
      </w:r>
      <w:r>
        <w:rPr>
          <w:sz w:val="22"/>
          <w:szCs w:val="22"/>
          <w:vertAlign w:val="superscript"/>
        </w:rPr>
        <w:t>3</w:t>
      </w:r>
      <w:r>
        <w:rPr>
          <w:sz w:val="22"/>
          <w:szCs w:val="22"/>
        </w:rPr>
        <w:t>;</w:t>
      </w:r>
    </w:p>
    <w:p>
      <w:pPr>
        <w:pStyle w:val="Normal"/>
        <w:tabs>
          <w:tab w:val="clear" w:pos="708"/>
          <w:tab w:val="left" w:pos="993" w:leader="none"/>
        </w:tabs>
        <w:spacing w:lineRule="auto" w:line="240"/>
        <w:ind w:left="720" w:firstLine="567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>
        <w:rPr>
          <w:sz w:val="22"/>
          <w:szCs w:val="22"/>
        </w:rPr>
        <w:t>приставки ж/б ____ – ____ в штуках;</w:t>
      </w:r>
    </w:p>
    <w:p>
      <w:pPr>
        <w:pStyle w:val="Normal"/>
        <w:tabs>
          <w:tab w:val="clear" w:pos="708"/>
          <w:tab w:val="left" w:pos="993" w:leader="none"/>
        </w:tabs>
        <w:spacing w:lineRule="auto" w:line="240"/>
        <w:ind w:left="709" w:firstLine="567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>
        <w:rPr>
          <w:sz w:val="22"/>
          <w:szCs w:val="22"/>
        </w:rPr>
        <w:t>изоляторы ____ – ____ в штуках;</w:t>
      </w:r>
    </w:p>
    <w:p>
      <w:pPr>
        <w:pStyle w:val="Normal"/>
        <w:tabs>
          <w:tab w:val="clear" w:pos="708"/>
          <w:tab w:val="left" w:pos="993" w:leader="none"/>
        </w:tabs>
        <w:spacing w:lineRule="auto" w:line="240"/>
        <w:ind w:left="709" w:firstLine="567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>
        <w:rPr>
          <w:sz w:val="22"/>
          <w:szCs w:val="22"/>
        </w:rPr>
        <w:t>траверсы ____ – ____ в штуках;</w:t>
      </w:r>
    </w:p>
    <w:p>
      <w:pPr>
        <w:pStyle w:val="Normal"/>
        <w:tabs>
          <w:tab w:val="clear" w:pos="708"/>
          <w:tab w:val="left" w:pos="993" w:leader="none"/>
        </w:tabs>
        <w:spacing w:lineRule="auto" w:line="240"/>
        <w:ind w:left="720" w:firstLine="567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>
        <w:rPr>
          <w:sz w:val="22"/>
          <w:szCs w:val="22"/>
        </w:rPr>
        <w:t>крючья стальные ____ – ____ в штуках;</w:t>
      </w:r>
    </w:p>
    <w:p>
      <w:pPr>
        <w:pStyle w:val="Normal"/>
        <w:tabs>
          <w:tab w:val="clear" w:pos="708"/>
          <w:tab w:val="left" w:pos="993" w:leader="none"/>
        </w:tabs>
        <w:spacing w:lineRule="auto" w:line="240"/>
        <w:ind w:left="720" w:firstLine="567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>
        <w:rPr>
          <w:sz w:val="22"/>
          <w:szCs w:val="22"/>
        </w:rPr>
        <w:t>корпус ТП ____ кВА – ______ в штуках;</w:t>
      </w:r>
    </w:p>
    <w:p>
      <w:pPr>
        <w:pStyle w:val="Normal"/>
        <w:tabs>
          <w:tab w:val="clear" w:pos="708"/>
          <w:tab w:val="left" w:pos="993" w:leader="none"/>
        </w:tabs>
        <w:spacing w:lineRule="auto" w:line="240"/>
        <w:ind w:left="720" w:firstLine="567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>
        <w:rPr>
          <w:sz w:val="22"/>
          <w:szCs w:val="22"/>
        </w:rPr>
        <w:t>силовой трансформатор ____ кВА – _____ в штуках;</w:t>
      </w:r>
    </w:p>
    <w:p>
      <w:pPr>
        <w:pStyle w:val="Normal"/>
        <w:tabs>
          <w:tab w:val="clear" w:pos="708"/>
          <w:tab w:val="left" w:pos="993" w:leader="none"/>
        </w:tabs>
        <w:spacing w:lineRule="auto" w:line="240"/>
        <w:ind w:left="720" w:firstLine="567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>
        <w:rPr>
          <w:sz w:val="22"/>
          <w:szCs w:val="22"/>
        </w:rPr>
        <w:t>разъединитель 10 (6) кВ – ______ в штуках;</w:t>
      </w:r>
    </w:p>
    <w:p>
      <w:pPr>
        <w:pStyle w:val="Normal"/>
        <w:tabs>
          <w:tab w:val="clear" w:pos="708"/>
          <w:tab w:val="left" w:pos="993" w:leader="none"/>
        </w:tabs>
        <w:spacing w:lineRule="auto" w:line="240"/>
        <w:ind w:left="720" w:firstLine="567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>
        <w:rPr>
          <w:sz w:val="22"/>
          <w:szCs w:val="22"/>
        </w:rPr>
        <w:t>выключатели 6-110 кВ _______ – ______ в штуках;</w:t>
      </w:r>
    </w:p>
    <w:p>
      <w:pPr>
        <w:pStyle w:val="Normal"/>
        <w:tabs>
          <w:tab w:val="clear" w:pos="708"/>
          <w:tab w:val="left" w:pos="993" w:leader="none"/>
        </w:tabs>
        <w:spacing w:lineRule="auto" w:line="240"/>
        <w:ind w:left="720" w:firstLine="567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>
        <w:rPr>
          <w:sz w:val="22"/>
          <w:szCs w:val="22"/>
        </w:rPr>
        <w:t>панели (шкафы) оборудования _______ – ______ в штуках;</w:t>
      </w:r>
    </w:p>
    <w:p>
      <w:pPr>
        <w:pStyle w:val="Normal"/>
        <w:tabs>
          <w:tab w:val="clear" w:pos="708"/>
          <w:tab w:val="left" w:pos="993" w:leader="none"/>
        </w:tabs>
        <w:spacing w:lineRule="auto" w:line="240"/>
        <w:ind w:left="720" w:firstLine="567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>
        <w:rPr>
          <w:sz w:val="22"/>
          <w:szCs w:val="22"/>
        </w:rPr>
        <w:t>аккумуляторные батареи _______ – ______ в штуках;</w:t>
      </w:r>
    </w:p>
    <w:p>
      <w:pPr>
        <w:pStyle w:val="Normal"/>
        <w:tabs>
          <w:tab w:val="clear" w:pos="708"/>
          <w:tab w:val="left" w:pos="993" w:leader="none"/>
        </w:tabs>
        <w:spacing w:lineRule="auto" w:line="240"/>
        <w:ind w:left="720" w:firstLine="567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>
        <w:rPr>
          <w:sz w:val="22"/>
          <w:szCs w:val="22"/>
        </w:rPr>
        <w:t>фундаменты _______ – ______ в штуках;</w:t>
      </w:r>
    </w:p>
    <w:p>
      <w:pPr>
        <w:pStyle w:val="Normal"/>
        <w:tabs>
          <w:tab w:val="clear" w:pos="708"/>
          <w:tab w:val="left" w:pos="993" w:leader="none"/>
        </w:tabs>
        <w:spacing w:lineRule="auto" w:line="240"/>
        <w:ind w:left="720" w:firstLine="567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>
        <w:rPr>
          <w:sz w:val="22"/>
          <w:szCs w:val="22"/>
        </w:rPr>
        <w:t>тросостойка ____ – ____/____ в штуках/тоннах;</w:t>
      </w:r>
    </w:p>
    <w:p>
      <w:pPr>
        <w:pStyle w:val="Normal"/>
        <w:tabs>
          <w:tab w:val="clear" w:pos="708"/>
          <w:tab w:val="left" w:pos="993" w:leader="none"/>
        </w:tabs>
        <w:spacing w:lineRule="auto" w:line="240"/>
        <w:ind w:left="720" w:firstLine="567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>
        <w:rPr>
          <w:sz w:val="22"/>
          <w:szCs w:val="22"/>
        </w:rPr>
        <w:t>металлические опоры ____ – ____/____ в штуках/тоннах;</w:t>
      </w:r>
    </w:p>
    <w:p>
      <w:pPr>
        <w:pStyle w:val="Normal"/>
        <w:tabs>
          <w:tab w:val="clear" w:pos="708"/>
          <w:tab w:val="left" w:pos="993" w:leader="none"/>
        </w:tabs>
        <w:spacing w:lineRule="auto" w:line="240"/>
        <w:ind w:left="720" w:firstLine="567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>
        <w:rPr>
          <w:sz w:val="22"/>
          <w:szCs w:val="22"/>
        </w:rPr>
        <w:t>сцепная арматура (натяжная, подвесная, защитная) ____ – ______ в штуках;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5. Требования к учету Подрядчиком материалов (в т.ч. лома черных и цветных материалов), образовавшихся в ходе выполнения демонтажных работ: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5.1. При выполнении работы по демонтажу материалов (провода) </w:t>
      </w:r>
      <w:r>
        <w:rPr>
          <w:b/>
          <w:sz w:val="22"/>
          <w:szCs w:val="22"/>
        </w:rPr>
        <w:t xml:space="preserve">факт демонтажа фиксируется Сторонами путем подписания Акта демонтажа </w:t>
      </w:r>
      <w:r>
        <w:rPr>
          <w:sz w:val="22"/>
          <w:szCs w:val="22"/>
        </w:rPr>
        <w:t>по форме согласно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Приложению №1 к настоящему Порядку. Акт демонтажа составляется и подписывается Подрядчиком в 2 (двух) экземплярах и передается Заказчику для рассмотрения и подписания в течение </w:t>
      </w:r>
      <w:r>
        <w:rPr>
          <w:sz w:val="22"/>
          <w:szCs w:val="22"/>
          <w:highlight w:val="lightGray"/>
        </w:rPr>
        <w:t>2 (двух)</w:t>
      </w:r>
      <w:r>
        <w:rPr>
          <w:sz w:val="22"/>
          <w:szCs w:val="22"/>
        </w:rPr>
        <w:t xml:space="preserve"> рабочих дней с момента демонтажа. Срок для рассмотрения Акта демонтажа Заказчиком составляет </w:t>
      </w:r>
      <w:r>
        <w:rPr>
          <w:sz w:val="22"/>
          <w:szCs w:val="22"/>
          <w:highlight w:val="lightGray"/>
        </w:rPr>
        <w:t>5 (пять)</w:t>
      </w:r>
      <w:r>
        <w:rPr>
          <w:sz w:val="22"/>
          <w:szCs w:val="22"/>
        </w:rPr>
        <w:t xml:space="preserve"> рабочих дней с момента получения.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Объем и масса демонтируемых материалов должны соответствовать данным, указанным в паспорте на объект (ВЛ, ПС, ТП и др.) и номенклатуре, указанной в п. 3 настоящего Порядка.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Количество (протяженность, марка) проводов, подлежащих демонтажу, указано в ТЗ к Договору. 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случае установления Подрядчиком несоответствия демонтированных материалов (провода) требованиям ТЗ (паспорту линии), Подрядчик обязан в течение </w:t>
      </w:r>
      <w:r>
        <w:rPr>
          <w:sz w:val="22"/>
          <w:szCs w:val="22"/>
          <w:highlight w:val="lightGray"/>
        </w:rPr>
        <w:t>2 (двух)</w:t>
      </w:r>
      <w:r>
        <w:rPr>
          <w:sz w:val="22"/>
          <w:szCs w:val="22"/>
        </w:rPr>
        <w:t xml:space="preserve"> дней с момента демонтажа письменно сообщить о данном факте Заказчику. Факт несоответствия фиксируется сторонами Договора в Акте демонтажа. При нарушении Подрядчиком указанной обязанности Заказчик вправе потребовать от Подрядчика уплаты штрафных санкций, предусмотренных Договором.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>
          <w:strike/>
          <w:sz w:val="22"/>
          <w:szCs w:val="22"/>
        </w:rPr>
      </w:pPr>
      <w:r>
        <w:rPr>
          <w:rFonts w:eastAsia="Calibri"/>
          <w:bCs/>
          <w:iCs/>
          <w:sz w:val="22"/>
          <w:szCs w:val="22"/>
        </w:rPr>
        <w:t xml:space="preserve">5.2. После подписания Сторонами Актов демонтажа </w:t>
      </w:r>
      <w:r>
        <w:rPr>
          <w:sz w:val="22"/>
          <w:szCs w:val="22"/>
        </w:rPr>
        <w:t xml:space="preserve">материалы, высвободившиеся после демонтажа и перечисленные в подписанном Сторонами Акте демонтажа, остаются </w:t>
      </w:r>
      <w:r>
        <w:rPr>
          <w:b/>
          <w:sz w:val="22"/>
          <w:szCs w:val="22"/>
        </w:rPr>
        <w:t>на ответственном хранении</w:t>
      </w:r>
      <w:r>
        <w:rPr>
          <w:sz w:val="22"/>
          <w:szCs w:val="22"/>
        </w:rPr>
        <w:t xml:space="preserve"> у Подрядчика до момента их фактической передачи Заказчику и подписания «Акта об оприходовании материальных ценностей, полученных при разборке и демонтаже основных средств подрядными организациями», в соответствии с приложением 1-6/12 к Учетной политике АО «ДРСК».</w:t>
      </w:r>
    </w:p>
    <w:p>
      <w:pPr>
        <w:pStyle w:val="Normal"/>
        <w:spacing w:lineRule="auto" w:line="240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5.3. При хранении материалов (в т.ч. лома черных и цветных материалов), образовавшихся в ходе выполнения Работ по демонтажу, </w:t>
      </w:r>
      <w:r>
        <w:rPr>
          <w:b/>
          <w:sz w:val="22"/>
          <w:szCs w:val="22"/>
        </w:rPr>
        <w:t>Подрядчик должен соблюдать требования</w:t>
      </w:r>
      <w:r>
        <w:rPr>
          <w:sz w:val="22"/>
          <w:szCs w:val="22"/>
        </w:rPr>
        <w:t xml:space="preserve">, установленные следующими актами: </w:t>
      </w:r>
    </w:p>
    <w:p>
      <w:pPr>
        <w:pStyle w:val="Normal"/>
        <w:spacing w:lineRule="auto" w:line="240"/>
        <w:ind w:firstLine="709"/>
        <w:rPr>
          <w:sz w:val="22"/>
          <w:szCs w:val="22"/>
        </w:rPr>
      </w:pPr>
      <w:r>
        <w:rPr>
          <w:sz w:val="22"/>
          <w:szCs w:val="22"/>
        </w:rPr>
        <w:t>1) СанПиН 2.1.7.1322-03 «Гигиенические требования к размещению и обезвреживанию отходов производства и потребления»;</w:t>
      </w:r>
    </w:p>
    <w:p>
      <w:pPr>
        <w:pStyle w:val="Normal"/>
        <w:spacing w:lineRule="auto" w:line="240"/>
        <w:ind w:firstLine="709"/>
        <w:rPr>
          <w:sz w:val="22"/>
          <w:szCs w:val="22"/>
        </w:rPr>
      </w:pPr>
      <w:r>
        <w:rPr>
          <w:sz w:val="22"/>
          <w:szCs w:val="22"/>
        </w:rPr>
        <w:t>2) ГОСТ 2787-2019 "Металлы черные вторичные. Общие технические условия".</w:t>
      </w:r>
    </w:p>
    <w:p>
      <w:pPr>
        <w:pStyle w:val="Normal"/>
        <w:spacing w:lineRule="auto" w:line="240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3) Инструкции по складированию и хранению материалов, оборудования и запасных частей на складах филиалов, утвержденную в АО «ДРСК» (И-ИСМ-6.4-01.02-4729). 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>
          <w:sz w:val="22"/>
          <w:szCs w:val="22"/>
        </w:rPr>
      </w:pPr>
      <w:r>
        <w:rPr>
          <w:rFonts w:eastAsia="Calibri"/>
          <w:bCs/>
          <w:iCs/>
          <w:sz w:val="22"/>
          <w:szCs w:val="22"/>
        </w:rPr>
        <w:t>5.4. П</w:t>
      </w:r>
      <w:r>
        <w:rPr>
          <w:bCs/>
          <w:sz w:val="22"/>
          <w:szCs w:val="22"/>
        </w:rPr>
        <w:t xml:space="preserve">осле завершения выполнения Работ в отношении </w:t>
      </w:r>
      <w:r>
        <w:rPr>
          <w:sz w:val="22"/>
          <w:szCs w:val="22"/>
          <w:highlight w:val="lightGray"/>
        </w:rPr>
        <w:t>каждого</w:t>
      </w:r>
      <w:r>
        <w:rPr>
          <w:bCs/>
          <w:sz w:val="22"/>
          <w:szCs w:val="22"/>
        </w:rPr>
        <w:t xml:space="preserve"> Объекта и подписания Сторонами Акта КС-2, Справки КС-3 Подрядчик передает Заказчику в течение </w:t>
      </w:r>
      <w:r>
        <w:rPr>
          <w:bCs/>
          <w:sz w:val="22"/>
          <w:szCs w:val="22"/>
          <w:highlight w:val="lightGray"/>
        </w:rPr>
        <w:t>5 (пяти)</w:t>
      </w:r>
      <w:r>
        <w:rPr>
          <w:bCs/>
          <w:sz w:val="22"/>
          <w:szCs w:val="22"/>
        </w:rPr>
        <w:t xml:space="preserve"> рабочих дней с момента подписания актов в полном объёме лом чёрных и цветных металлов, оборудование, образовавшиеся в ходе выполнения Работ по демонтажу. Стороны подписывают в указанный срок </w:t>
      </w:r>
      <w:r>
        <w:rPr>
          <w:sz w:val="22"/>
          <w:szCs w:val="22"/>
        </w:rPr>
        <w:t>«Акт об оприходовании материальных ценностей, полученных при разборке и демонтаже основных средств подрядными организациями».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>
          <w:i/>
          <w:i/>
          <w:sz w:val="22"/>
          <w:szCs w:val="22"/>
        </w:rPr>
      </w:pPr>
      <w:r>
        <w:rPr>
          <w:sz w:val="22"/>
          <w:szCs w:val="22"/>
        </w:rPr>
        <w:t xml:space="preserve">Заказчик проверяет соответствие фактически передаваемых Подрядчиком материалов (провода) паспорту линии, ее протяженности на участке замены, марке провода, а также сведениям, указанным в актах КС-2. Проверку материалов после демонтажа со стороны Заказчика осуществляет: ________________________________________________________ </w:t>
      </w:r>
      <w:r>
        <w:rPr>
          <w:i/>
          <w:sz w:val="22"/>
          <w:szCs w:val="22"/>
        </w:rPr>
        <w:t>(указывается Ф.И.О., должность).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>
          <w:i/>
          <w:i/>
          <w:sz w:val="22"/>
          <w:szCs w:val="22"/>
        </w:rPr>
      </w:pPr>
      <w:r>
        <w:rPr>
          <w:i/>
          <w:sz w:val="22"/>
          <w:szCs w:val="22"/>
        </w:rPr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>
          <w:sz w:val="22"/>
          <w:szCs w:val="22"/>
        </w:rPr>
      </w:pPr>
      <w:r>
        <w:rPr>
          <w:rFonts w:eastAsia="Calibri"/>
          <w:bCs/>
          <w:iCs/>
          <w:sz w:val="22"/>
          <w:szCs w:val="22"/>
        </w:rPr>
        <w:t xml:space="preserve">В случае наличия по вине Подрядчика расхождений в объеме передаваемых материалов между Актом демонтажа и </w:t>
      </w:r>
      <w:r>
        <w:rPr>
          <w:sz w:val="22"/>
          <w:szCs w:val="22"/>
        </w:rPr>
        <w:t>«Актом об оприходовании материальных ценностей, полученных при разборке и демонтаже основных средств подрядными организациями», Заказчик вправе потребовать от Подрядчика компенсации убытков и уплаты штрафных санкций, предусмотренных Договором.</w:t>
      </w:r>
    </w:p>
    <w:p>
      <w:pPr>
        <w:pStyle w:val="Normal"/>
        <w:tabs>
          <w:tab w:val="clear" w:pos="708"/>
          <w:tab w:val="left" w:pos="993" w:leader="none"/>
        </w:tabs>
        <w:spacing w:lineRule="auto" w:line="240"/>
        <w:ind w:firstLine="709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 Заказчик вправе в любое время осуществлять контроль за учетом и хранением Подрядчиком материалов после демонтажа. В случае обнаружения отступления Подрядчика от настоящего Порядка, Заказчик оформляет и передает Подрядчику Ведомость замечаний, в которой фиксируется каждый случай несоблюдения Порядка и сроки его устранения. 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>
          <w:sz w:val="22"/>
          <w:szCs w:val="22"/>
        </w:rPr>
      </w:pPr>
      <w:r>
        <w:rPr>
          <w:bCs/>
          <w:sz w:val="22"/>
          <w:szCs w:val="22"/>
        </w:rPr>
        <w:t>Устранение указанных недостатков/отступлений, выявленных Заказчиком, осуществляется Подрядчиком своими силами и за свой счет в срок, указанный в Ведомости замечаний.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rPr>
          <w:i/>
          <w:i/>
          <w:sz w:val="22"/>
          <w:szCs w:val="22"/>
        </w:rPr>
      </w:pPr>
      <w:r>
        <w:rPr>
          <w:i/>
          <w:sz w:val="22"/>
          <w:szCs w:val="22"/>
        </w:rPr>
        <w:t>Приложение: форма: Акта демонтажа.</w:t>
      </w:r>
    </w:p>
    <w:p>
      <w:pPr>
        <w:pStyle w:val="Normal"/>
        <w:spacing w:lineRule="auto" w:line="24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>
          <w:rFonts w:eastAsia="Calibri"/>
          <w:bCs/>
          <w:iCs/>
          <w:sz w:val="22"/>
          <w:szCs w:val="22"/>
        </w:rPr>
      </w:pPr>
      <w:r>
        <w:rPr>
          <w:rFonts w:eastAsia="Calibri"/>
          <w:bCs/>
          <w:iCs/>
          <w:sz w:val="22"/>
          <w:szCs w:val="22"/>
        </w:rPr>
      </w:r>
    </w:p>
    <w:p>
      <w:pPr>
        <w:pStyle w:val="Normal"/>
        <w:spacing w:lineRule="auto" w:line="240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4785"/>
        <w:gridCol w:w="4785"/>
      </w:tblGrid>
      <w:tr>
        <w:trPr/>
        <w:tc>
          <w:tcPr>
            <w:tcW w:w="478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Заказчик:</w:t>
            </w:r>
          </w:p>
        </w:tc>
        <w:tc>
          <w:tcPr>
            <w:tcW w:w="478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Подрядчик:</w:t>
            </w:r>
          </w:p>
        </w:tc>
      </w:tr>
      <w:tr>
        <w:trPr/>
        <w:tc>
          <w:tcPr>
            <w:tcW w:w="478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</w:tc>
        <w:tc>
          <w:tcPr>
            <w:tcW w:w="478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24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pageBreakBefore w:val="false"/>
        <w:spacing w:lineRule="auto" w:line="240"/>
        <w:jc w:val="right"/>
        <w:rPr/>
      </w:pPr>
      <w:r>
        <w:rPr/>
      </w:r>
    </w:p>
    <w:p>
      <w:pPr>
        <w:pStyle w:val="Normal"/>
        <w:spacing w:lineRule="auto" w:line="240"/>
        <w:jc w:val="right"/>
        <w:rPr>
          <w:sz w:val="22"/>
          <w:szCs w:val="22"/>
        </w:rPr>
      </w:pPr>
      <w:r>
        <w:rPr/>
      </w:r>
    </w:p>
    <w:sectPr>
      <w:headerReference w:type="default" r:id="rId2"/>
      <w:footnotePr>
        <w:numFmt w:val="decimal"/>
      </w:footnotePr>
      <w:type w:val="nextPage"/>
      <w:pgSz w:w="11906" w:h="16838"/>
      <w:pgMar w:left="1418" w:right="567" w:gutter="0" w:header="567" w:top="624" w:footer="0" w:bottom="567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Wingdings">
    <w:charset w:val="01"/>
    <w:family w:val="roman"/>
    <w:pitch w:val="variable"/>
  </w:font>
  <w:font w:name="Courier New">
    <w:charset w:val="01"/>
    <w:family w:val="roman"/>
    <w:pitch w:val="variable"/>
  </w:font>
  <w:font w:name="Symbo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Arial">
    <w:charset w:val="01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widowControl w:val="false"/>
        <w:rPr/>
      </w:pPr>
      <w:r>
        <w:rPr>
          <w:rStyle w:val="Style6"/>
        </w:rPr>
        <w:footnoteRef/>
      </w:r>
      <w:r>
        <w:rPr>
          <w:rStyle w:val="Style6"/>
        </w:rPr>
        <w:tab/>
      </w:r>
      <w:r>
        <w:rPr/>
        <w:t xml:space="preserve"> Составляются филиалом в произвольной форме с обязательным указанием наименования материалов/оборудования, их количества, марки, протяженности, веса и других необходимых характеристик, указанных в паспорте на объект (ВЛ, ПС, ТП и др.), и включаются в ТЗ к договору как объём работ по демонтажу</w:t>
      </w:r>
    </w:p>
  </w:footnote>
  <w:footnote w:id="3">
    <w:p>
      <w:pPr>
        <w:pStyle w:val="FootnoteText"/>
        <w:widowControl w:val="false"/>
        <w:rPr/>
      </w:pPr>
      <w:r>
        <w:rPr>
          <w:rStyle w:val="Style6"/>
        </w:rPr>
        <w:footnoteRef/>
      </w:r>
      <w:r>
        <w:rPr>
          <w:rStyle w:val="Style6"/>
        </w:rPr>
        <w:tab/>
      </w:r>
      <w:r>
        <w:rPr/>
        <w:t xml:space="preserve"> В случае отсутствия в ТЗ указанных сведений, объемы и номенклатура материалов и оборудования перечисляются в Порядке. 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hd w:val="clear" w:color="auto" w:fill="FFFFFF"/>
      <w:tabs>
        <w:tab w:val="clear" w:pos="708"/>
        <w:tab w:val="left" w:pos="3148" w:leader="none"/>
        <w:tab w:val="center" w:pos="4818" w:leader="none"/>
        <w:tab w:val="left" w:pos="6926" w:leader="none"/>
      </w:tabs>
      <w:spacing w:lineRule="auto" w:line="240"/>
      <w:ind w:hanging="0"/>
      <w:jc w:val="center"/>
      <w:rPr>
        <w:i/>
        <w:i/>
        <w:sz w:val="22"/>
        <w:szCs w:val="24"/>
      </w:rPr>
    </w:pPr>
    <w:r>
      <w:rPr>
        <w:i/>
        <w:sz w:val="22"/>
        <w:szCs w:val="24"/>
      </w:rPr>
      <w:t>ТФД №1.1.1 Договор подряда на выполнение работ по реконструкции/ модернизации «под ключ» (для выполнения программы технического перевооружения и реконструкции основных фондов), предусматривающий несколько этапов, банковские гарантии по возврату аванса и надлежащего исполнения обязательств (с оговорками по привлечению МСП на субподряд)</w:t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99"/>
  <w:embedSystemFonts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16193c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00000A"/>
      <w:kern w:val="0"/>
      <w:sz w:val="28"/>
      <w:szCs w:val="28"/>
      <w:lang w:val="ru-RU" w:eastAsia="ru-RU" w:bidi="ar-SA"/>
    </w:rPr>
  </w:style>
  <w:style w:type="paragraph" w:styleId="Heading1">
    <w:name w:val="Heading 1"/>
    <w:basedOn w:val="Normal"/>
    <w:next w:val="Normal"/>
    <w:link w:val="11"/>
    <w:qFormat/>
    <w:rsid w:val="00ae674d"/>
    <w:pPr>
      <w:keepNext w:val="true"/>
      <w:spacing w:before="240" w:after="60"/>
      <w:outlineLvl w:val="0"/>
    </w:pPr>
    <w:rPr>
      <w:rFonts w:ascii="Cambria" w:hAnsi="Cambria"/>
      <w:b/>
      <w:bCs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2"/>
    <w:qFormat/>
    <w:rsid w:val="00ae674d"/>
    <w:pPr>
      <w:keepNext w:val="true"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Heading3">
    <w:name w:val="Heading 3"/>
    <w:basedOn w:val="Normal"/>
    <w:next w:val="Normal"/>
    <w:link w:val="3"/>
    <w:uiPriority w:val="9"/>
    <w:qFormat/>
    <w:rsid w:val="005f3f9e"/>
    <w:pPr>
      <w:keepNext w:val="true"/>
      <w:suppressAutoHyphens w:val="true"/>
      <w:spacing w:lineRule="auto" w:line="240" w:before="120" w:after="120"/>
      <w:ind w:hanging="0"/>
      <w:jc w:val="left"/>
      <w:outlineLvl w:val="2"/>
    </w:pPr>
    <w:rPr>
      <w:b/>
      <w:szCs w:val="20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6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uiPriority w:val="99"/>
    <w:qFormat/>
    <w:rsid w:val="00d45657"/>
    <w:rPr>
      <w:vertAlign w:val="superscript"/>
    </w:rPr>
  </w:style>
  <w:style w:type="character" w:styleId="3" w:customStyle="1">
    <w:name w:val="Заголовок 3 Знак"/>
    <w:qFormat/>
    <w:rsid w:val="005f3f9e"/>
    <w:rPr>
      <w:b/>
      <w:sz w:val="28"/>
    </w:rPr>
  </w:style>
  <w:style w:type="character" w:styleId="31" w:customStyle="1">
    <w:name w:val="3. Подпункт Знак"/>
    <w:link w:val="33"/>
    <w:qFormat/>
    <w:rsid w:val="005f4a86"/>
    <w:rPr>
      <w:b/>
      <w:bCs/>
      <w:sz w:val="24"/>
      <w:szCs w:val="24"/>
      <w:lang w:val="x-none" w:eastAsia="x-none"/>
    </w:rPr>
  </w:style>
  <w:style w:type="character" w:styleId="Style7" w:customStyle="1">
    <w:name w:val="Текст выноски Знак"/>
    <w:link w:val="BalloonText"/>
    <w:qFormat/>
    <w:rsid w:val="00dc2b59"/>
    <w:rPr>
      <w:rFonts w:ascii="Tahoma" w:hAnsi="Tahoma" w:cs="Tahoma"/>
      <w:sz w:val="16"/>
      <w:szCs w:val="16"/>
    </w:rPr>
  </w:style>
  <w:style w:type="character" w:styleId="1" w:customStyle="1">
    <w:name w:val="1. Статья Знак"/>
    <w:link w:val="12"/>
    <w:qFormat/>
    <w:rsid w:val="00f50d64"/>
    <w:rPr>
      <w:sz w:val="24"/>
      <w:szCs w:val="24"/>
      <w:lang w:val="x-none" w:eastAsia="x-none"/>
    </w:rPr>
  </w:style>
  <w:style w:type="character" w:styleId="4" w:customStyle="1">
    <w:name w:val="4. Отчерк Знак"/>
    <w:link w:val="41"/>
    <w:qFormat/>
    <w:rsid w:val="00f50d64"/>
    <w:rPr>
      <w:sz w:val="24"/>
      <w:szCs w:val="24"/>
      <w:lang w:val="x-none" w:eastAsia="x-none"/>
    </w:rPr>
  </w:style>
  <w:style w:type="character" w:styleId="Annotationreference">
    <w:name w:val="annotation reference"/>
    <w:qFormat/>
    <w:rsid w:val="00f50d64"/>
    <w:rPr>
      <w:sz w:val="16"/>
      <w:szCs w:val="16"/>
    </w:rPr>
  </w:style>
  <w:style w:type="character" w:styleId="Style8" w:customStyle="1">
    <w:name w:val="Текст примечания Знак"/>
    <w:link w:val="Annotationtext"/>
    <w:qFormat/>
    <w:rsid w:val="00f50d64"/>
    <w:rPr/>
  </w:style>
  <w:style w:type="character" w:styleId="Style9" w:customStyle="1">
    <w:name w:val="Тема примечания Знак"/>
    <w:link w:val="Annotationsubject"/>
    <w:qFormat/>
    <w:rsid w:val="00f50d64"/>
    <w:rPr>
      <w:b/>
      <w:bCs/>
    </w:rPr>
  </w:style>
  <w:style w:type="character" w:styleId="Style10" w:customStyle="1">
    <w:name w:val="Нижний колонтитул Знак"/>
    <w:uiPriority w:val="99"/>
    <w:qFormat/>
    <w:rsid w:val="0043217c"/>
    <w:rPr>
      <w:sz w:val="28"/>
      <w:szCs w:val="28"/>
    </w:rPr>
  </w:style>
  <w:style w:type="character" w:styleId="32" w:customStyle="1">
    <w:name w:val="Основной текст 3 Знак"/>
    <w:link w:val="BodyText3"/>
    <w:qFormat/>
    <w:rsid w:val="001d2676"/>
    <w:rPr>
      <w:color w:val="0000FF"/>
      <w:sz w:val="24"/>
      <w:szCs w:val="24"/>
      <w:lang w:eastAsia="en-US"/>
    </w:rPr>
  </w:style>
  <w:style w:type="character" w:styleId="Style11" w:customStyle="1">
    <w:name w:val="Заголовок Знак"/>
    <w:qFormat/>
    <w:rsid w:val="00ae674d"/>
    <w:rPr>
      <w:sz w:val="22"/>
      <w:szCs w:val="22"/>
      <w:shd w:fill="FFFFFF" w:val="clear"/>
    </w:rPr>
  </w:style>
  <w:style w:type="character" w:styleId="11" w:customStyle="1">
    <w:name w:val="Заголовок 1 Знак"/>
    <w:qFormat/>
    <w:rsid w:val="00ae674d"/>
    <w:rPr>
      <w:rFonts w:ascii="Cambria" w:hAnsi="Cambria" w:eastAsia="Times New Roman" w:cs="Times New Roman"/>
      <w:b/>
      <w:bCs/>
      <w:sz w:val="32"/>
      <w:szCs w:val="32"/>
    </w:rPr>
  </w:style>
  <w:style w:type="character" w:styleId="2" w:customStyle="1">
    <w:name w:val="Заголовок 2 Знак"/>
    <w:semiHidden/>
    <w:qFormat/>
    <w:rsid w:val="00ae674d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2" w:customStyle="1">
    <w:name w:val="Основной текст с отступом Знак"/>
    <w:qFormat/>
    <w:rsid w:val="00ae674d"/>
    <w:rPr>
      <w:sz w:val="28"/>
      <w:szCs w:val="28"/>
    </w:rPr>
  </w:style>
  <w:style w:type="character" w:styleId="FontStyle16" w:customStyle="1">
    <w:name w:val="Font Style16"/>
    <w:qFormat/>
    <w:rsid w:val="00204c48"/>
    <w:rPr>
      <w:rFonts w:ascii="Times New Roman" w:hAnsi="Times New Roman" w:cs="Times New Roman"/>
      <w:sz w:val="24"/>
      <w:szCs w:val="24"/>
    </w:rPr>
  </w:style>
  <w:style w:type="character" w:styleId="Style13" w:customStyle="1">
    <w:name w:val="Текст сноски Знак"/>
    <w:uiPriority w:val="99"/>
    <w:qFormat/>
    <w:rsid w:val="00f43f0d"/>
    <w:rPr/>
  </w:style>
  <w:style w:type="character" w:styleId="Hyperlink">
    <w:name w:val="Hyperlink"/>
    <w:uiPriority w:val="99"/>
    <w:unhideWhenUsed/>
    <w:rsid w:val="00ee68c6"/>
    <w:rPr>
      <w:color w:val="0000FF"/>
      <w:u w:val="single"/>
    </w:rPr>
  </w:style>
  <w:style w:type="character" w:styleId="Style14" w:customStyle="1">
    <w:name w:val="Текст концевой сноски Знак"/>
    <w:uiPriority w:val="99"/>
    <w:semiHidden/>
    <w:qFormat/>
    <w:rsid w:val="008c02d8"/>
    <w:rPr/>
  </w:style>
  <w:style w:type="character" w:styleId="Style15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uiPriority w:val="99"/>
    <w:semiHidden/>
    <w:unhideWhenUsed/>
    <w:qFormat/>
    <w:rsid w:val="008c02d8"/>
    <w:rPr>
      <w:vertAlign w:val="superscript"/>
    </w:rPr>
  </w:style>
  <w:style w:type="character" w:styleId="Style16" w:customStyle="1">
    <w:name w:val="Абзац списка Знак"/>
    <w:link w:val="ListParagraph"/>
    <w:uiPriority w:val="34"/>
    <w:qFormat/>
    <w:locked/>
    <w:rsid w:val="0047622f"/>
    <w:rPr>
      <w:sz w:val="24"/>
      <w:szCs w:val="24"/>
    </w:rPr>
  </w:style>
  <w:style w:type="character" w:styleId="Style17" w:customStyle="1">
    <w:name w:val="Верхний колонтитул Знак"/>
    <w:basedOn w:val="DefaultParagraphFont"/>
    <w:qFormat/>
    <w:rsid w:val="005571aa"/>
    <w:rPr>
      <w:sz w:val="28"/>
      <w:szCs w:val="28"/>
    </w:rPr>
  </w:style>
  <w:style w:type="character" w:styleId="WW8Num1z0">
    <w:name w:val="WW8Num1z0"/>
    <w:qFormat/>
    <w:rPr>
      <w:rFonts w:ascii="Times New Roman" w:hAnsi="Times New Roman" w:cs="Times New Roman"/>
      <w:sz w:val="18"/>
      <w:szCs w:val="18"/>
    </w:rPr>
  </w:style>
  <w:style w:type="character" w:styleId="Style18">
    <w:name w:val="Маркеры"/>
    <w:qFormat/>
    <w:rPr>
      <w:rFonts w:ascii="OpenSymbol" w:hAnsi="OpenSymbol" w:eastAsia="OpenSymbol" w:cs="OpenSymbol"/>
    </w:rPr>
  </w:style>
  <w:style w:type="character" w:styleId="Style19">
    <w:name w:val="Символы концевой сноски"/>
    <w:qFormat/>
    <w:rPr/>
  </w:style>
  <w:style w:type="character" w:styleId="FollowedHyperlink">
    <w:name w:val="FollowedHyperlink"/>
    <w:rPr>
      <w:color w:val="800080"/>
      <w:u w:val="single"/>
    </w:rPr>
  </w:style>
  <w:style w:type="character" w:styleId="EndnoteReference1">
    <w:name w:val="Endnote Reference1"/>
    <w:qFormat/>
    <w:rPr>
      <w:vertAlign w:val="superscript"/>
    </w:rPr>
  </w:style>
  <w:style w:type="character" w:styleId="FootnoteReference1">
    <w:name w:val="Footnote Reference1"/>
    <w:qFormat/>
    <w:rPr>
      <w:vertAlign w:val="superscript"/>
    </w:rPr>
  </w:style>
  <w:style w:type="character" w:styleId="EndnoteReference3">
    <w:name w:val="Endnote Reference3"/>
    <w:qFormat/>
    <w:rPr>
      <w:vertAlign w:val="superscript"/>
    </w:rPr>
  </w:style>
  <w:style w:type="character" w:styleId="FootnoteReference3">
    <w:name w:val="Footnote Reference3"/>
    <w:qFormat/>
    <w:rPr>
      <w:vertAlign w:val="superscript"/>
    </w:rPr>
  </w:style>
  <w:style w:type="character" w:styleId="EndnoteReference2">
    <w:name w:val="Endnote Reference2"/>
    <w:qFormat/>
    <w:rPr>
      <w:vertAlign w:val="superscript"/>
    </w:rPr>
  </w:style>
  <w:style w:type="character" w:styleId="FootnoteReference2">
    <w:name w:val="Footnote Reference2"/>
    <w:qFormat/>
    <w:rPr>
      <w:vertAlign w:val="superscript"/>
    </w:rPr>
  </w:style>
  <w:style w:type="character" w:styleId="EndnoteReference11">
    <w:name w:val="Endnote Reference11"/>
    <w:qFormat/>
    <w:rPr>
      <w:vertAlign w:val="superscript"/>
    </w:rPr>
  </w:style>
  <w:style w:type="character" w:styleId="WW-">
    <w:name w:val="WW-Символы концевой сноски"/>
    <w:qFormat/>
    <w:rPr/>
  </w:style>
  <w:style w:type="character" w:styleId="FootnoteReference11">
    <w:name w:val="Footnote Reference11"/>
    <w:qFormat/>
    <w:rPr>
      <w:vertAlign w:val="superscript"/>
    </w:rPr>
  </w:style>
  <w:style w:type="character" w:styleId="Style20">
    <w:name w:val="Название Знак"/>
    <w:qFormat/>
    <w:rPr>
      <w:b/>
      <w:bCs/>
      <w:sz w:val="24"/>
      <w:szCs w:val="24"/>
    </w:rPr>
  </w:style>
  <w:style w:type="character" w:styleId="Style21">
    <w:name w:val="Основной текст Знак"/>
    <w:qFormat/>
    <w:rPr>
      <w:sz w:val="24"/>
      <w:szCs w:val="24"/>
    </w:rPr>
  </w:style>
  <w:style w:type="character" w:styleId="Style22">
    <w:name w:val="Знак примечания"/>
    <w:qFormat/>
    <w:rPr>
      <w:sz w:val="16"/>
      <w:szCs w:val="16"/>
    </w:rPr>
  </w:style>
  <w:style w:type="character" w:styleId="PageNumber">
    <w:name w:val="Page Number"/>
    <w:basedOn w:val="Style23"/>
    <w:rPr/>
  </w:style>
  <w:style w:type="character" w:styleId="Style23">
    <w:name w:val="Основной шрифт абзаца"/>
    <w:qFormat/>
    <w:rPr/>
  </w:style>
  <w:style w:type="character" w:styleId="WW8Num29z0">
    <w:name w:val="WW8Num29z0"/>
    <w:qFormat/>
    <w:rPr/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0">
    <w:name w:val="WW8Num28z0"/>
    <w:qFormat/>
    <w:rPr>
      <w:rFonts w:ascii="Symbol" w:hAnsi="Symbol" w:cs="Symbol"/>
    </w:rPr>
  </w:style>
  <w:style w:type="character" w:styleId="WW8Num27z0">
    <w:name w:val="WW8Num27z0"/>
    <w:qFormat/>
    <w:rPr/>
  </w:style>
  <w:style w:type="character" w:styleId="WW8Num26z0">
    <w:name w:val="WW8Num26z0"/>
    <w:qFormat/>
    <w:rPr/>
  </w:style>
  <w:style w:type="character" w:styleId="WW8Num25z2">
    <w:name w:val="WW8Num25z2"/>
    <w:qFormat/>
    <w:rPr>
      <w:rFonts w:ascii="Wingdings" w:hAnsi="Wingdings" w:cs="Wingdings"/>
    </w:rPr>
  </w:style>
  <w:style w:type="character" w:styleId="WW8Num25z1">
    <w:name w:val="WW8Num25z1"/>
    <w:qFormat/>
    <w:rPr>
      <w:rFonts w:ascii="Courier New" w:hAnsi="Courier New" w:cs="Courier New"/>
    </w:rPr>
  </w:style>
  <w:style w:type="character" w:styleId="WW8Num25z0">
    <w:name w:val="WW8Num25z0"/>
    <w:qFormat/>
    <w:rPr>
      <w:rFonts w:ascii="Symbol" w:hAnsi="Symbol" w:cs="Symbol"/>
    </w:rPr>
  </w:style>
  <w:style w:type="character" w:styleId="WW8Num24z8">
    <w:name w:val="WW8Num24z8"/>
    <w:qFormat/>
    <w:rPr/>
  </w:style>
  <w:style w:type="character" w:styleId="WW8Num24z7">
    <w:name w:val="WW8Num24z7"/>
    <w:qFormat/>
    <w:rPr/>
  </w:style>
  <w:style w:type="character" w:styleId="WW8Num24z6">
    <w:name w:val="WW8Num24z6"/>
    <w:qFormat/>
    <w:rPr/>
  </w:style>
  <w:style w:type="character" w:styleId="WW8Num24z5">
    <w:name w:val="WW8Num24z5"/>
    <w:qFormat/>
    <w:rPr/>
  </w:style>
  <w:style w:type="character" w:styleId="WW8Num24z4">
    <w:name w:val="WW8Num24z4"/>
    <w:qFormat/>
    <w:rPr/>
  </w:style>
  <w:style w:type="character" w:styleId="WW8Num24z3">
    <w:name w:val="WW8Num24z3"/>
    <w:qFormat/>
    <w:rPr/>
  </w:style>
  <w:style w:type="character" w:styleId="WW8Num24z2">
    <w:name w:val="WW8Num24z2"/>
    <w:qFormat/>
    <w:rPr>
      <w:b w:val="false"/>
      <w:sz w:val="24"/>
      <w:szCs w:val="24"/>
    </w:rPr>
  </w:style>
  <w:style w:type="character" w:styleId="WW8Num24z1">
    <w:name w:val="WW8Num24z1"/>
    <w:qFormat/>
    <w:rPr>
      <w:b w:val="false"/>
      <w:u w:val="none"/>
    </w:rPr>
  </w:style>
  <w:style w:type="character" w:styleId="WW8Num24z0">
    <w:name w:val="WW8Num24z0"/>
    <w:qFormat/>
    <w:rPr>
      <w:b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0">
    <w:name w:val="WW8Num23z0"/>
    <w:qFormat/>
    <w:rPr>
      <w:rFonts w:ascii="Symbol" w:hAnsi="Symbol" w:cs="Symbol"/>
    </w:rPr>
  </w:style>
  <w:style w:type="character" w:styleId="WW8Num22z8">
    <w:name w:val="WW8Num22z8"/>
    <w:qFormat/>
    <w:rPr/>
  </w:style>
  <w:style w:type="character" w:styleId="WW8Num22z7">
    <w:name w:val="WW8Num22z7"/>
    <w:qFormat/>
    <w:rPr/>
  </w:style>
  <w:style w:type="character" w:styleId="WW8Num22z6">
    <w:name w:val="WW8Num22z6"/>
    <w:qFormat/>
    <w:rPr/>
  </w:style>
  <w:style w:type="character" w:styleId="WW8Num22z5">
    <w:name w:val="WW8Num22z5"/>
    <w:qFormat/>
    <w:rPr/>
  </w:style>
  <w:style w:type="character" w:styleId="WW8Num22z4">
    <w:name w:val="WW8Num22z4"/>
    <w:qFormat/>
    <w:rPr/>
  </w:style>
  <w:style w:type="character" w:styleId="WW8Num22z3">
    <w:name w:val="WW8Num22z3"/>
    <w:qFormat/>
    <w:rPr/>
  </w:style>
  <w:style w:type="character" w:styleId="WW8Num22z2">
    <w:name w:val="WW8Num22z2"/>
    <w:qFormat/>
    <w:rPr/>
  </w:style>
  <w:style w:type="character" w:styleId="WW8Num22z1">
    <w:name w:val="WW8Num22z1"/>
    <w:qFormat/>
    <w:rPr/>
  </w:style>
  <w:style w:type="character" w:styleId="WW8Num22z0">
    <w:name w:val="WW8Num22z0"/>
    <w:qFormat/>
    <w:rPr>
      <w:sz w:val="24"/>
      <w:szCs w:val="24"/>
    </w:rPr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21z0">
    <w:name w:val="WW8Num21z0"/>
    <w:qFormat/>
    <w:rPr>
      <w:rFonts w:ascii="Symbol" w:hAnsi="Symbol" w:cs="Symbol"/>
    </w:rPr>
  </w:style>
  <w:style w:type="character" w:styleId="WW8Num20z8">
    <w:name w:val="WW8Num20z8"/>
    <w:qFormat/>
    <w:rPr/>
  </w:style>
  <w:style w:type="character" w:styleId="WW8Num20z7">
    <w:name w:val="WW8Num20z7"/>
    <w:qFormat/>
    <w:rPr/>
  </w:style>
  <w:style w:type="character" w:styleId="WW8Num20z6">
    <w:name w:val="WW8Num20z6"/>
    <w:qFormat/>
    <w:rPr/>
  </w:style>
  <w:style w:type="character" w:styleId="WW8Num20z5">
    <w:name w:val="WW8Num20z5"/>
    <w:qFormat/>
    <w:rPr/>
  </w:style>
  <w:style w:type="character" w:styleId="WW8Num20z4">
    <w:name w:val="WW8Num20z4"/>
    <w:qFormat/>
    <w:rPr/>
  </w:style>
  <w:style w:type="character" w:styleId="WW8Num20z3">
    <w:name w:val="WW8Num20z3"/>
    <w:qFormat/>
    <w:rPr/>
  </w:style>
  <w:style w:type="character" w:styleId="WW8Num20z2">
    <w:name w:val="WW8Num20z2"/>
    <w:qFormat/>
    <w:rPr>
      <w:b w:val="false"/>
      <w:sz w:val="24"/>
      <w:szCs w:val="24"/>
    </w:rPr>
  </w:style>
  <w:style w:type="character" w:styleId="WW8Num20z1">
    <w:name w:val="WW8Num20z1"/>
    <w:qFormat/>
    <w:rPr>
      <w:rFonts w:ascii="Symbol" w:hAnsi="Symbol" w:cs="Symbol"/>
      <w:b w:val="false"/>
      <w:u w:val="none"/>
    </w:rPr>
  </w:style>
  <w:style w:type="character" w:styleId="WW8Num20z0">
    <w:name w:val="WW8Num20z0"/>
    <w:qFormat/>
    <w:rPr>
      <w:b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0">
    <w:name w:val="WW8Num19z0"/>
    <w:qFormat/>
    <w:rPr>
      <w:rFonts w:ascii="Symbol" w:hAnsi="Symbol" w:cs="Symbol"/>
    </w:rPr>
  </w:style>
  <w:style w:type="character" w:styleId="WW8Num18z0">
    <w:name w:val="WW8Num18z0"/>
    <w:qFormat/>
    <w:rPr/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3">
    <w:name w:val="WW8Num17z3"/>
    <w:qFormat/>
    <w:rPr/>
  </w:style>
  <w:style w:type="character" w:styleId="WW8Num17z2">
    <w:name w:val="WW8Num17z2"/>
    <w:qFormat/>
    <w:rPr/>
  </w:style>
  <w:style w:type="character" w:styleId="WW8Num17z1">
    <w:name w:val="WW8Num17z1"/>
    <w:qFormat/>
    <w:rPr/>
  </w:style>
  <w:style w:type="character" w:styleId="WW8Num17z0">
    <w:name w:val="WW8Num17z0"/>
    <w:qFormat/>
    <w:rPr>
      <w:b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0">
    <w:name w:val="WW8Num16z0"/>
    <w:qFormat/>
    <w:rPr>
      <w:rFonts w:ascii="Times New Roman" w:hAnsi="Times New Roman" w:cs="Times New Roman"/>
    </w:rPr>
  </w:style>
  <w:style w:type="character" w:styleId="WW8Num15z2">
    <w:name w:val="WW8Num15z2"/>
    <w:qFormat/>
    <w:rPr>
      <w:rFonts w:ascii="Wingdings" w:hAnsi="Wingdings" w:cs="Wingdings"/>
    </w:rPr>
  </w:style>
  <w:style w:type="character" w:styleId="WW8Num15z1">
    <w:name w:val="WW8Num15z1"/>
    <w:qFormat/>
    <w:rPr>
      <w:rFonts w:ascii="Courier New" w:hAnsi="Courier New" w:cs="Courier New"/>
    </w:rPr>
  </w:style>
  <w:style w:type="character" w:styleId="WW8Num15z0">
    <w:name w:val="WW8Num15z0"/>
    <w:qFormat/>
    <w:rPr>
      <w:rFonts w:ascii="Symbol" w:hAnsi="Symbol" w:cs="Symbol"/>
    </w:rPr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4z4">
    <w:name w:val="WW8Num14z4"/>
    <w:qFormat/>
    <w:rPr/>
  </w:style>
  <w:style w:type="character" w:styleId="WW8Num14z3">
    <w:name w:val="WW8Num14z3"/>
    <w:qFormat/>
    <w:rPr/>
  </w:style>
  <w:style w:type="character" w:styleId="WW8Num14z2">
    <w:name w:val="WW8Num14z2"/>
    <w:qFormat/>
    <w:rPr/>
  </w:style>
  <w:style w:type="character" w:styleId="WW8Num14z1">
    <w:name w:val="WW8Num14z1"/>
    <w:qFormat/>
    <w:rPr/>
  </w:style>
  <w:style w:type="character" w:styleId="WW8Num14z0">
    <w:name w:val="WW8Num14z0"/>
    <w:qFormat/>
    <w:rPr>
      <w:sz w:val="24"/>
      <w:szCs w:val="24"/>
    </w:rPr>
  </w:style>
  <w:style w:type="character" w:styleId="WW8Num13z0">
    <w:name w:val="WW8Num13z0"/>
    <w:qFormat/>
    <w:rPr/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0">
    <w:name w:val="WW8Num12z0"/>
    <w:qFormat/>
    <w:rPr>
      <w:rFonts w:ascii="Symbol" w:hAnsi="Symbol" w:cs="Symbol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11z3">
    <w:name w:val="WW8Num11z3"/>
    <w:qFormat/>
    <w:rPr/>
  </w:style>
  <w:style w:type="character" w:styleId="WW8Num11z2">
    <w:name w:val="WW8Num11z2"/>
    <w:qFormat/>
    <w:rPr/>
  </w:style>
  <w:style w:type="character" w:styleId="WW8Num11z1">
    <w:name w:val="WW8Num11z1"/>
    <w:qFormat/>
    <w:rPr/>
  </w:style>
  <w:style w:type="character" w:styleId="WW8Num11z0">
    <w:name w:val="WW8Num11z0"/>
    <w:qFormat/>
    <w:rPr>
      <w:sz w:val="24"/>
      <w:szCs w:val="24"/>
    </w:rPr>
  </w:style>
  <w:style w:type="character" w:styleId="WW8Num10z8">
    <w:name w:val="WW8Num10z8"/>
    <w:qFormat/>
    <w:rPr/>
  </w:style>
  <w:style w:type="character" w:styleId="WW8Num10z7">
    <w:name w:val="WW8Num10z7"/>
    <w:qFormat/>
    <w:rPr/>
  </w:style>
  <w:style w:type="character" w:styleId="WW8Num10z6">
    <w:name w:val="WW8Num10z6"/>
    <w:qFormat/>
    <w:rPr/>
  </w:style>
  <w:style w:type="character" w:styleId="WW8Num10z5">
    <w:name w:val="WW8Num10z5"/>
    <w:qFormat/>
    <w:rPr/>
  </w:style>
  <w:style w:type="character" w:styleId="WW8Num10z4">
    <w:name w:val="WW8Num10z4"/>
    <w:qFormat/>
    <w:rPr/>
  </w:style>
  <w:style w:type="character" w:styleId="WW8Num10z3">
    <w:name w:val="WW8Num10z3"/>
    <w:qFormat/>
    <w:rPr/>
  </w:style>
  <w:style w:type="character" w:styleId="WW8Num10z2">
    <w:name w:val="WW8Num10z2"/>
    <w:qFormat/>
    <w:rPr/>
  </w:style>
  <w:style w:type="character" w:styleId="WW8Num10z1">
    <w:name w:val="WW8Num10z1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0z0">
    <w:name w:val="WW8Num10z0"/>
    <w:qFormat/>
    <w:rPr>
      <w:sz w:val="24"/>
      <w:szCs w:val="24"/>
      <w:shd w:fill="C0C0C0" w:val="clear"/>
    </w:rPr>
  </w:style>
  <w:style w:type="character" w:styleId="WW8Num9z0">
    <w:name w:val="WW8Num9z0"/>
    <w:qFormat/>
    <w:rPr>
      <w:rFonts w:ascii="Symbol" w:hAnsi="Symbol" w:cs="Symbol"/>
    </w:rPr>
  </w:style>
  <w:style w:type="character" w:styleId="WW8Num8z0">
    <w:name w:val="WW8Num8z0"/>
    <w:qFormat/>
    <w:rPr>
      <w:rFonts w:ascii="Symbol" w:hAnsi="Symbol" w:cs="Symbol"/>
    </w:rPr>
  </w:style>
  <w:style w:type="character" w:styleId="WW8Num7z0">
    <w:name w:val="WW8Num7z0"/>
    <w:qFormat/>
    <w:rPr>
      <w:rFonts w:ascii="Symbol" w:hAnsi="Symbol" w:cs="Symbol"/>
    </w:rPr>
  </w:style>
  <w:style w:type="character" w:styleId="WW8Num6z0">
    <w:name w:val="WW8Num6z0"/>
    <w:qFormat/>
    <w:rPr>
      <w:rFonts w:ascii="Symbol" w:hAnsi="Symbol" w:cs="Symbol"/>
    </w:rPr>
  </w:style>
  <w:style w:type="character" w:styleId="WW8Num5z2">
    <w:name w:val="WW8Num5z2"/>
    <w:qFormat/>
    <w:rPr/>
  </w:style>
  <w:style w:type="character" w:styleId="WW8Num5z1">
    <w:name w:val="WW8Num5z1"/>
    <w:qFormat/>
    <w:rPr>
      <w:b w:val="false"/>
      <w:bCs/>
      <w:i w:val="false"/>
    </w:rPr>
  </w:style>
  <w:style w:type="character" w:styleId="WW8Num5z0">
    <w:name w:val="WW8Num5z0"/>
    <w:qFormat/>
    <w:rPr>
      <w:b/>
    </w:rPr>
  </w:style>
  <w:style w:type="character" w:styleId="WW8Num4z2">
    <w:name w:val="WW8Num4z2"/>
    <w:qFormat/>
    <w:rPr>
      <w:bCs/>
      <w:sz w:val="24"/>
      <w:shd w:fill="C0C0C0" w:val="clear"/>
      <w:lang w:val="en-US"/>
    </w:rPr>
  </w:style>
  <w:style w:type="character" w:styleId="WW8Num4z1">
    <w:name w:val="WW8Num4z1"/>
    <w:qFormat/>
    <w:rPr>
      <w:bCs/>
      <w:i w:val="false"/>
      <w:sz w:val="24"/>
      <w:shd w:fill="C0C0C0" w:val="clear"/>
    </w:rPr>
  </w:style>
  <w:style w:type="character" w:styleId="WW8Num4z0">
    <w:name w:val="WW8Num4z0"/>
    <w:qFormat/>
    <w:rPr>
      <w:b/>
      <w:bCs/>
    </w:rPr>
  </w:style>
  <w:style w:type="character" w:styleId="WW8Num3z0">
    <w:name w:val="WW8Num3z0"/>
    <w:qFormat/>
    <w:rPr>
      <w:b/>
      <w:bCs/>
      <w:shd w:fill="C0C0C0" w:val="clear"/>
    </w:rPr>
  </w:style>
  <w:style w:type="character" w:styleId="WW8Num2z0">
    <w:name w:val="WW8Num2z0"/>
    <w:qFormat/>
    <w:rPr>
      <w:rFonts w:ascii="Symbol" w:hAnsi="Symbol" w:cs="Symbol"/>
    </w:rPr>
  </w:style>
  <w:style w:type="paragraph" w:styleId="Style2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rsid w:val="004b090f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BodyText3">
    <w:name w:val="Body Text 3"/>
    <w:basedOn w:val="Normal"/>
    <w:link w:val="32"/>
    <w:qFormat/>
    <w:rsid w:val="004b090f"/>
    <w:pPr>
      <w:spacing w:lineRule="auto" w:line="240"/>
      <w:ind w:hanging="0"/>
    </w:pPr>
    <w:rPr>
      <w:color w:val="0000FF"/>
      <w:sz w:val="24"/>
      <w:szCs w:val="24"/>
      <w:lang w:val="x-none" w:eastAsia="en-US"/>
    </w:rPr>
  </w:style>
  <w:style w:type="paragraph" w:styleId="Style26">
    <w:name w:val="Колонтитул"/>
    <w:basedOn w:val="Normal"/>
    <w:qFormat/>
    <w:pPr/>
    <w:rPr/>
  </w:style>
  <w:style w:type="paragraph" w:styleId="Header">
    <w:name w:val="Header"/>
    <w:basedOn w:val="Normal"/>
    <w:link w:val="Style17"/>
    <w:rsid w:val="004b090f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110" w:customStyle="1">
    <w:name w:val="Style1"/>
    <w:basedOn w:val="Normal"/>
    <w:autoRedefine/>
    <w:qFormat/>
    <w:rsid w:val="004b090f"/>
    <w:pPr>
      <w:spacing w:lineRule="auto" w:line="240" w:before="240" w:after="0"/>
      <w:ind w:hanging="0"/>
      <w:jc w:val="left"/>
    </w:pPr>
    <w:rPr>
      <w:b/>
      <w:sz w:val="22"/>
      <w:szCs w:val="20"/>
    </w:rPr>
  </w:style>
  <w:style w:type="paragraph" w:styleId="BodyText2">
    <w:name w:val="Body Text 2"/>
    <w:basedOn w:val="Normal"/>
    <w:qFormat/>
    <w:rsid w:val="004b090f"/>
    <w:pPr>
      <w:widowControl w:val="false"/>
      <w:spacing w:lineRule="auto" w:line="480" w:before="0" w:after="120"/>
      <w:ind w:hanging="0"/>
      <w:jc w:val="left"/>
    </w:pPr>
    <w:rPr>
      <w:sz w:val="20"/>
      <w:szCs w:val="20"/>
    </w:rPr>
  </w:style>
  <w:style w:type="paragraph" w:styleId="Style27" w:customStyle="1">
    <w:name w:val="Знак"/>
    <w:basedOn w:val="Normal"/>
    <w:qFormat/>
    <w:rsid w:val="000873ec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FootnoteText">
    <w:name w:val="Footnote Text"/>
    <w:basedOn w:val="Normal"/>
    <w:link w:val="Style13"/>
    <w:uiPriority w:val="99"/>
    <w:rsid w:val="00d45657"/>
    <w:pPr>
      <w:spacing w:lineRule="auto" w:line="240"/>
      <w:ind w:hanging="0"/>
      <w:jc w:val="left"/>
    </w:pPr>
    <w:rPr>
      <w:sz w:val="20"/>
      <w:szCs w:val="20"/>
    </w:rPr>
  </w:style>
  <w:style w:type="paragraph" w:styleId="Style28" w:customStyle="1">
    <w:name w:val="Знак Знак Знак Знак Знак Знак Знак"/>
    <w:basedOn w:val="Normal"/>
    <w:qFormat/>
    <w:rsid w:val="00773634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1" w:customStyle="1">
    <w:name w:val="Знак2"/>
    <w:basedOn w:val="Normal"/>
    <w:qFormat/>
    <w:rsid w:val="00f65662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Style29" w:customStyle="1">
    <w:name w:val="Знак Знак Знак Знак Знак Знак Знак Знак Знак"/>
    <w:basedOn w:val="Normal"/>
    <w:qFormat/>
    <w:rsid w:val="007c5ecd"/>
    <w:pPr>
      <w:spacing w:lineRule="exact" w:line="240" w:before="0" w:after="160"/>
      <w:ind w:hanging="0"/>
    </w:pPr>
    <w:rPr>
      <w:rFonts w:ascii="Verdana" w:hAnsi="Verdana"/>
      <w:sz w:val="22"/>
      <w:szCs w:val="20"/>
      <w:lang w:val="en-US" w:eastAsia="en-US"/>
    </w:rPr>
  </w:style>
  <w:style w:type="paragraph" w:styleId="Style30" w:customStyle="1">
    <w:name w:val="Пункт договора"/>
    <w:basedOn w:val="Normal"/>
    <w:qFormat/>
    <w:rsid w:val="004d4328"/>
    <w:pPr>
      <w:widowControl w:val="false"/>
      <w:spacing w:lineRule="auto" w:line="240"/>
      <w:ind w:hanging="0"/>
    </w:pPr>
    <w:rPr>
      <w:rFonts w:ascii="Arial" w:hAnsi="Arial"/>
      <w:sz w:val="20"/>
      <w:szCs w:val="20"/>
    </w:rPr>
  </w:style>
  <w:style w:type="paragraph" w:styleId="Style31" w:customStyle="1">
    <w:name w:val="Подпункт договора"/>
    <w:basedOn w:val="Normal"/>
    <w:qFormat/>
    <w:rsid w:val="00617a62"/>
    <w:pPr>
      <w:tabs>
        <w:tab w:val="clear" w:pos="708"/>
        <w:tab w:val="left" w:pos="360" w:leader="none"/>
      </w:tabs>
      <w:spacing w:lineRule="auto" w:line="240"/>
      <w:ind w:hanging="0"/>
    </w:pPr>
    <w:rPr>
      <w:rFonts w:ascii="Arial" w:hAnsi="Arial"/>
      <w:sz w:val="20"/>
      <w:szCs w:val="20"/>
    </w:rPr>
  </w:style>
  <w:style w:type="paragraph" w:styleId="BodyTextIndent3">
    <w:name w:val="Body Text Indent 3"/>
    <w:basedOn w:val="Normal"/>
    <w:qFormat/>
    <w:rsid w:val="006329b9"/>
    <w:pPr>
      <w:spacing w:before="0" w:after="120"/>
      <w:ind w:left="283" w:firstLine="567"/>
    </w:pPr>
    <w:rPr>
      <w:sz w:val="16"/>
      <w:szCs w:val="16"/>
    </w:rPr>
  </w:style>
  <w:style w:type="paragraph" w:styleId="ListParagraph">
    <w:name w:val="List Paragraph"/>
    <w:basedOn w:val="Normal"/>
    <w:link w:val="Style16"/>
    <w:uiPriority w:val="34"/>
    <w:qFormat/>
    <w:rsid w:val="005f3f9e"/>
    <w:pPr>
      <w:spacing w:lineRule="auto" w:line="240" w:before="0" w:after="0"/>
      <w:ind w:left="720" w:hanging="0"/>
      <w:contextualSpacing/>
      <w:jc w:val="left"/>
    </w:pPr>
    <w:rPr>
      <w:sz w:val="24"/>
      <w:szCs w:val="24"/>
    </w:rPr>
  </w:style>
  <w:style w:type="paragraph" w:styleId="12" w:customStyle="1">
    <w:name w:val="1. Статья"/>
    <w:basedOn w:val="Heading3"/>
    <w:link w:val="1"/>
    <w:qFormat/>
    <w:rsid w:val="005f4a86"/>
    <w:pPr>
      <w:keepNext w:val="false"/>
      <w:widowControl w:val="false"/>
      <w:tabs>
        <w:tab w:val="clear" w:pos="708"/>
        <w:tab w:val="left" w:pos="2340" w:leader="none"/>
      </w:tabs>
      <w:suppressAutoHyphens w:val="false"/>
      <w:overflowPunct w:val="true"/>
      <w:spacing w:before="0" w:after="0"/>
      <w:ind w:right="1462" w:hanging="0"/>
      <w:jc w:val="center"/>
      <w:textAlignment w:val="baseline"/>
    </w:pPr>
    <w:rPr>
      <w:b w:val="false"/>
      <w:sz w:val="24"/>
      <w:szCs w:val="24"/>
    </w:rPr>
  </w:style>
  <w:style w:type="paragraph" w:styleId="22" w:customStyle="1">
    <w:name w:val="2. Пункт"/>
    <w:basedOn w:val="Heading3"/>
    <w:qFormat/>
    <w:rsid w:val="005f4a86"/>
    <w:pPr>
      <w:keepNext w:val="false"/>
      <w:widowControl w:val="false"/>
      <w:suppressAutoHyphens w:val="false"/>
      <w:overflowPunct w:val="true"/>
      <w:spacing w:before="0" w:after="0"/>
      <w:jc w:val="both"/>
      <w:textAlignment w:val="baseline"/>
    </w:pPr>
    <w:rPr>
      <w:b w:val="false"/>
      <w:sz w:val="24"/>
      <w:szCs w:val="24"/>
    </w:rPr>
  </w:style>
  <w:style w:type="paragraph" w:styleId="33" w:customStyle="1">
    <w:name w:val="3. Подпункт"/>
    <w:basedOn w:val="Heading3"/>
    <w:link w:val="31"/>
    <w:qFormat/>
    <w:rsid w:val="005f4a86"/>
    <w:pPr>
      <w:keepNext w:val="false"/>
      <w:widowControl w:val="false"/>
      <w:tabs>
        <w:tab w:val="clear" w:pos="708"/>
        <w:tab w:val="left" w:pos="1620" w:leader="none"/>
      </w:tabs>
      <w:suppressAutoHyphens w:val="false"/>
      <w:overflowPunct w:val="true"/>
      <w:spacing w:before="0" w:after="0"/>
      <w:jc w:val="both"/>
      <w:textAlignment w:val="baseline"/>
    </w:pPr>
    <w:rPr>
      <w:bCs/>
      <w:sz w:val="24"/>
      <w:szCs w:val="24"/>
    </w:rPr>
  </w:style>
  <w:style w:type="paragraph" w:styleId="ConsNormal" w:customStyle="1">
    <w:name w:val="ConsNormal"/>
    <w:qFormat/>
    <w:rsid w:val="008a113a"/>
    <w:pPr>
      <w:widowControl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Times New Roman"/>
      <w:color w:val="00000A"/>
      <w:kern w:val="0"/>
      <w:sz w:val="32"/>
      <w:szCs w:val="20"/>
      <w:lang w:val="ru-RU" w:eastAsia="en-US" w:bidi="ar-SA"/>
    </w:rPr>
  </w:style>
  <w:style w:type="paragraph" w:styleId="BalloonText">
    <w:name w:val="Balloon Text"/>
    <w:basedOn w:val="Normal"/>
    <w:link w:val="Style7"/>
    <w:qFormat/>
    <w:rsid w:val="00dc2b59"/>
    <w:pPr>
      <w:spacing w:lineRule="auto" w:line="240"/>
    </w:pPr>
    <w:rPr>
      <w:rFonts w:ascii="Tahoma" w:hAnsi="Tahoma"/>
      <w:sz w:val="16"/>
      <w:szCs w:val="16"/>
      <w:lang w:val="x-none" w:eastAsia="x-none"/>
    </w:rPr>
  </w:style>
  <w:style w:type="paragraph" w:styleId="41" w:customStyle="1">
    <w:name w:val="4. Отчерк"/>
    <w:basedOn w:val="Normal"/>
    <w:link w:val="4"/>
    <w:qFormat/>
    <w:rsid w:val="00f50d64"/>
    <w:pPr>
      <w:widowControl w:val="false"/>
      <w:spacing w:lineRule="auto" w:line="240"/>
    </w:pPr>
    <w:rPr>
      <w:sz w:val="24"/>
      <w:szCs w:val="24"/>
      <w:lang w:val="x-none" w:eastAsia="x-none"/>
    </w:rPr>
  </w:style>
  <w:style w:type="paragraph" w:styleId="Annotationtext">
    <w:name w:val="annotation text"/>
    <w:basedOn w:val="Normal"/>
    <w:link w:val="Style8"/>
    <w:qFormat/>
    <w:rsid w:val="00f50d64"/>
    <w:pPr>
      <w:spacing w:lineRule="auto" w:line="240"/>
    </w:pPr>
    <w:rPr>
      <w:sz w:val="20"/>
      <w:szCs w:val="20"/>
      <w:lang w:val="x-none" w:eastAsia="x-none"/>
    </w:rPr>
  </w:style>
  <w:style w:type="paragraph" w:styleId="Annotationsubject">
    <w:name w:val="annotation subject"/>
    <w:basedOn w:val="Annotationtext"/>
    <w:link w:val="Style9"/>
    <w:qFormat/>
    <w:rsid w:val="00f50d64"/>
    <w:pPr/>
    <w:rPr>
      <w:b/>
      <w:bCs/>
    </w:rPr>
  </w:style>
  <w:style w:type="paragraph" w:styleId="Footer">
    <w:name w:val="Footer"/>
    <w:basedOn w:val="Normal"/>
    <w:link w:val="Style10"/>
    <w:uiPriority w:val="99"/>
    <w:rsid w:val="0043217c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>
      <w:lang w:val="x-none" w:eastAsia="x-none"/>
    </w:rPr>
  </w:style>
  <w:style w:type="paragraph" w:styleId="Revision">
    <w:name w:val="Revision"/>
    <w:uiPriority w:val="99"/>
    <w:semiHidden/>
    <w:qFormat/>
    <w:rsid w:val="003003e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8"/>
      <w:szCs w:val="28"/>
      <w:lang w:val="ru-RU" w:eastAsia="ru-RU" w:bidi="ar-SA"/>
    </w:rPr>
  </w:style>
  <w:style w:type="paragraph" w:styleId="Title" w:customStyle="1">
    <w:name w:val="Title"/>
    <w:basedOn w:val="Normal"/>
    <w:link w:val="Style11"/>
    <w:qFormat/>
    <w:rsid w:val="00ae674d"/>
    <w:pPr>
      <w:widowControl w:val="false"/>
      <w:overflowPunct w:val="true"/>
      <w:spacing w:lineRule="auto" w:line="240" w:before="0" w:after="120"/>
      <w:ind w:hanging="0"/>
      <w:jc w:val="center"/>
      <w:textAlignment w:val="baseline"/>
    </w:pPr>
    <w:rPr>
      <w:b/>
      <w:bCs/>
      <w:sz w:val="32"/>
      <w:szCs w:val="20"/>
    </w:rPr>
  </w:style>
  <w:style w:type="paragraph" w:styleId="BodyTextIndent">
    <w:name w:val="Body Text Indent"/>
    <w:basedOn w:val="Normal"/>
    <w:link w:val="Style12"/>
    <w:rsid w:val="00ae674d"/>
    <w:pPr>
      <w:spacing w:before="0" w:after="120"/>
      <w:ind w:left="283" w:firstLine="567"/>
    </w:pPr>
    <w:rPr>
      <w:lang w:val="x-none" w:eastAsia="x-none"/>
    </w:rPr>
  </w:style>
  <w:style w:type="paragraph" w:styleId="333" w:customStyle="1">
    <w:name w:val="Пункт 3.3.3"/>
    <w:basedOn w:val="Normal"/>
    <w:qFormat/>
    <w:rsid w:val="00ae674d"/>
    <w:pPr>
      <w:keepNext w:val="true"/>
      <w:keepLines/>
      <w:widowControl w:val="false"/>
      <w:tabs>
        <w:tab w:val="clear" w:pos="708"/>
        <w:tab w:val="left" w:pos="920" w:leader="none"/>
      </w:tabs>
      <w:overflowPunct w:val="true"/>
      <w:spacing w:lineRule="auto" w:line="240" w:before="240" w:after="240"/>
      <w:ind w:left="704" w:hanging="504"/>
      <w:jc w:val="left"/>
      <w:textAlignment w:val="baseline"/>
      <w:outlineLvl w:val="1"/>
    </w:pPr>
    <w:rPr>
      <w:sz w:val="24"/>
      <w:szCs w:val="20"/>
    </w:rPr>
  </w:style>
  <w:style w:type="paragraph" w:styleId="Caption1">
    <w:name w:val="caption1"/>
    <w:basedOn w:val="Normal"/>
    <w:next w:val="Normal"/>
    <w:qFormat/>
    <w:rsid w:val="00ae674d"/>
    <w:pPr>
      <w:widowControl w:val="false"/>
      <w:overflowPunct w:val="true"/>
      <w:spacing w:lineRule="auto" w:line="240" w:before="120" w:after="120"/>
      <w:ind w:hanging="0"/>
      <w:textAlignment w:val="baseline"/>
    </w:pPr>
    <w:rPr>
      <w:b/>
      <w:bCs/>
      <w:sz w:val="24"/>
      <w:szCs w:val="24"/>
    </w:rPr>
  </w:style>
  <w:style w:type="paragraph" w:styleId="13" w:customStyle="1">
    <w:name w:val="Знак1"/>
    <w:basedOn w:val="Normal"/>
    <w:qFormat/>
    <w:rsid w:val="00f43f0d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-" w:customStyle="1">
    <w:name w:val="Контракт-раздел"/>
    <w:basedOn w:val="Normal"/>
    <w:qFormat/>
    <w:rsid w:val="00f43f0d"/>
    <w:pPr>
      <w:keepNext w:val="true"/>
      <w:keepLines/>
      <w:tabs>
        <w:tab w:val="clear" w:pos="708"/>
        <w:tab w:val="left" w:pos="0" w:leader="none"/>
        <w:tab w:val="left" w:pos="567" w:leader="none"/>
      </w:tabs>
      <w:suppressAutoHyphens w:val="true"/>
      <w:spacing w:lineRule="auto" w:line="240" w:before="360" w:after="120"/>
      <w:jc w:val="center"/>
      <w:textAlignment w:val="baseline"/>
      <w:outlineLvl w:val="1"/>
    </w:pPr>
    <w:rPr>
      <w:b/>
      <w:bCs/>
      <w:caps/>
    </w:rPr>
  </w:style>
  <w:style w:type="paragraph" w:styleId="-1" w:customStyle="1">
    <w:name w:val="Контракт-пункт"/>
    <w:basedOn w:val="Normal"/>
    <w:qFormat/>
    <w:rsid w:val="00f43f0d"/>
    <w:pPr/>
    <w:rPr/>
  </w:style>
  <w:style w:type="paragraph" w:styleId="-2" w:customStyle="1">
    <w:name w:val="Контракт-подпункт"/>
    <w:basedOn w:val="Normal"/>
    <w:qFormat/>
    <w:rsid w:val="00f43f0d"/>
    <w:pPr/>
    <w:rPr/>
  </w:style>
  <w:style w:type="paragraph" w:styleId="-3" w:customStyle="1">
    <w:name w:val="Контракт-подподпункт"/>
    <w:basedOn w:val="Normal"/>
    <w:qFormat/>
    <w:rsid w:val="00f43f0d"/>
    <w:pPr/>
    <w:rPr/>
  </w:style>
  <w:style w:type="paragraph" w:styleId="EndnoteSymbol">
    <w:name w:val="Endnote Symbol"/>
    <w:basedOn w:val="Normal"/>
    <w:link w:val="Style14"/>
    <w:uiPriority w:val="99"/>
    <w:semiHidden/>
    <w:unhideWhenUsed/>
    <w:qFormat/>
    <w:rsid w:val="008c02d8"/>
    <w:pPr/>
    <w:rPr>
      <w:sz w:val="20"/>
      <w:szCs w:val="20"/>
      <w:lang w:val="x-none" w:eastAsia="x-none"/>
    </w:rPr>
  </w:style>
  <w:style w:type="paragraph" w:styleId="ConsPlusNonformat" w:customStyle="1">
    <w:name w:val="ConsPlusNonformat"/>
    <w:qFormat/>
    <w:rsid w:val="002e3213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00000A"/>
      <w:kern w:val="0"/>
      <w:sz w:val="20"/>
      <w:szCs w:val="20"/>
      <w:lang w:val="ru-RU" w:eastAsia="ru-RU" w:bidi="ar-SA"/>
    </w:rPr>
  </w:style>
  <w:style w:type="paragraph" w:styleId="IndexHeading">
    <w:name w:val="Index Heading"/>
    <w:basedOn w:val="Style24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71aa"/>
    <w:pPr>
      <w:keepLines/>
      <w:spacing w:lineRule="auto" w:line="276" w:before="480" w:after="0"/>
      <w:ind w:hanging="0"/>
      <w:jc w:val="left"/>
    </w:pPr>
    <w:rPr>
      <w:rFonts w:ascii="Cambria" w:hAnsi="Cambria" w:eastAsia="" w:cs="" w:asciiTheme="majorHAnsi" w:cstheme="majorBidi" w:eastAsiaTheme="majorEastAsia" w:hAnsiTheme="majorHAnsi"/>
      <w:color w:val="365F91"/>
      <w:sz w:val="28"/>
      <w:szCs w:val="28"/>
      <w:lang w:val="ru-RU" w:eastAsia="ru-RU"/>
    </w:rPr>
  </w:style>
  <w:style w:type="paragraph" w:styleId="Style32">
    <w:name w:val="Содержимое врезки"/>
    <w:basedOn w:val="Normal"/>
    <w:qFormat/>
    <w:pPr/>
    <w:rPr/>
  </w:style>
  <w:style w:type="paragraph" w:styleId="Style33">
    <w:name w:val="Содержимое таблицы"/>
    <w:basedOn w:val="Normal"/>
    <w:qFormat/>
    <w:pPr>
      <w:widowControl w:val="false"/>
      <w:suppressLineNumbers/>
    </w:pPr>
    <w:rPr/>
  </w:style>
  <w:style w:type="paragraph" w:styleId="Style34">
    <w:name w:val="Заголовок таблицы"/>
    <w:basedOn w:val="Style33"/>
    <w:qFormat/>
    <w:pPr>
      <w:suppressLineNumbers/>
      <w:jc w:val="center"/>
    </w:pPr>
    <w:rPr>
      <w:b/>
      <w:bCs/>
    </w:rPr>
  </w:style>
  <w:style w:type="paragraph" w:styleId="14">
    <w:name w:val="Знак Знак Знак Знак Знак Знак Знак Знак Знак1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0"/>
      <w:lang w:val="en-US"/>
    </w:rPr>
  </w:style>
  <w:style w:type="paragraph" w:styleId="34">
    <w:name w:val="Основной текст 3"/>
    <w:basedOn w:val="Normal"/>
    <w:qFormat/>
    <w:pPr>
      <w:jc w:val="both"/>
    </w:pPr>
    <w:rPr>
      <w:color w:val="0000FF"/>
      <w:lang w:val="ru-RU"/>
    </w:rPr>
  </w:style>
  <w:style w:type="paragraph" w:styleId="Style35">
    <w:name w:val="Абзац списка"/>
    <w:basedOn w:val="Normal"/>
    <w:qFormat/>
    <w:pPr>
      <w:ind w:left="708" w:right="0" w:hanging="0"/>
    </w:pPr>
    <w:rPr/>
  </w:style>
  <w:style w:type="paragraph" w:styleId="U">
    <w:name w:val="u"/>
    <w:basedOn w:val="Normal"/>
    <w:qFormat/>
    <w:pPr>
      <w:ind w:left="0" w:right="0" w:firstLine="390"/>
      <w:jc w:val="both"/>
    </w:pPr>
    <w:rPr/>
  </w:style>
  <w:style w:type="paragraph" w:styleId="Style36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7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Style38">
    <w:name w:val="Тема примечания"/>
    <w:basedOn w:val="Style39"/>
    <w:next w:val="Style39"/>
    <w:qFormat/>
    <w:pPr/>
    <w:rPr>
      <w:b/>
      <w:bCs/>
    </w:rPr>
  </w:style>
  <w:style w:type="paragraph" w:styleId="Style39">
    <w:name w:val="Текст примечания"/>
    <w:basedOn w:val="Normal"/>
    <w:qFormat/>
    <w:pPr/>
    <w:rPr>
      <w:sz w:val="20"/>
      <w:szCs w:val="20"/>
    </w:rPr>
  </w:style>
  <w:style w:type="paragraph" w:styleId="Preformat">
    <w:name w:val="Preformat"/>
    <w:qFormat/>
    <w:pPr>
      <w:widowControl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2">
    <w:name w:val="Caption12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2">
    <w:name w:val="Caption2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39"/>
    <w:rsid w:val="00336503"/>
    <w:pPr>
      <w:spacing w:line="360" w:lineRule="auto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notes" Target="footnot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403FF-1D2E-46B5-9ED7-A50FEB4EAA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4C73B1-16B0-4945-BC09-183B63910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Application>AlterOffice/3.4.0.9$Linux_X86_64 LibreOffice_project/b8daf9e823b1a5463a2f48435ddc2e8696e7d4fc</Application>
  <AppVersion>15.0000</AppVersion>
  <Pages>3</Pages>
  <Words>998</Words>
  <Characters>6916</Characters>
  <CharactersWithSpaces>7904</CharactersWithSpaces>
  <Paragraphs>61</Paragraphs>
  <Company>УК ГидроОГК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2022-11-01T07:03:00Z</dcterms:created>
  <dc:creator>UK VoHEC</dc:creator>
  <dc:description/>
  <dc:language>ru-RU</dc:language>
  <cp:lastModifiedBy>evsyukov_ka</cp:lastModifiedBy>
  <cp:lastPrinted>2017-08-25T15:35:00Z</cp:lastPrinted>
  <dcterms:modified xsi:type="dcterms:W3CDTF">2026-07-29T08:50:48Z</dcterms:modified>
  <cp:revision>59</cp:revision>
  <dc:subject/>
  <dc:title>ДОГОВОР № ____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